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biznesie wchodzi w etap regulacji. Lata 2025–2027 zdecydują o przewadze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 firmach przestała być innowacją zarezerwowaną dla największych graczy technologicznych. Dziś wspiera marketing, analizuje dane klientów, personalizuje oferty i automatyzuje obsługę. W e-commerce często stanowi fundament strategii sprzedażowej.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przedsiębiorcy wchodzą w nową rzeczywistość regulacyjną. </w:t>
      </w:r>
      <w:r>
        <w:rPr>
          <w:rFonts w:ascii="calibri" w:hAnsi="calibri" w:eastAsia="calibri" w:cs="calibri"/>
          <w:sz w:val="24"/>
          <w:szCs w:val="24"/>
          <w:b/>
        </w:rPr>
        <w:t xml:space="preserve">AI Act</w:t>
      </w:r>
      <w:r>
        <w:rPr>
          <w:rFonts w:ascii="calibri" w:hAnsi="calibri" w:eastAsia="calibri" w:cs="calibri"/>
          <w:sz w:val="24"/>
          <w:szCs w:val="24"/>
        </w:rPr>
        <w:t xml:space="preserve"> rozpoczyna kilkuletni proces wdrażania zasad odpowiedzialnego korzystania z AI w Unii Europejskiej. Regulacja ta zaczyna zazębiać się z przepisami </w:t>
      </w: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  <w:r>
        <w:rPr>
          <w:rFonts w:ascii="calibri" w:hAnsi="calibri" w:eastAsia="calibri" w:cs="calibri"/>
          <w:sz w:val="24"/>
          <w:szCs w:val="24"/>
        </w:rPr>
        <w:t xml:space="preserve"> oraz ze standardami dostępności cyfrowej opisanymi w </w:t>
      </w:r>
      <w:r>
        <w:rPr>
          <w:rFonts w:ascii="calibri" w:hAnsi="calibri" w:eastAsia="calibri" w:cs="calibri"/>
          <w:sz w:val="24"/>
          <w:szCs w:val="24"/>
          <w:b/>
        </w:rPr>
        <w:t xml:space="preserve">WCAG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moment, w którym technologia przestaje być wyłącznie przewagą konkurencyjną, a staje się także obszarem odpowiedzialności zarządczej.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Harmonogram, który wymaga strategicznego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Act wszedł w życie w 2024 roku, jednak jego stosowanie zostało rozłożone w czasie. W 2025 roku zaczynają obowiązywać pierwsze przepisy, w tym zakazy najbardziej ryzykownych zastosowań. Rok 2026 przyniesie zasadniczą część obowiązków, szczególnie wobec systemów wysokiego ryzyka. Pełne wdrożenie potrwa do 2027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przedsiębiorców myśli, że skoro pełne stosowanie przepisów nastąpi dopiero w 2027 roku, mają jeszcze dużo czasu. W praktyce lata 2025–2026 to okres, w którym należy przeprowadzić audyt i uporządkować wykorzystanie AI w organizacji. Im później firma zacznie, tym większe ryzyko kosztownych korekt”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Pawzun, członek zarządu CalmFox.pl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pod szczególną obserwacją regulatorów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e-commerce należy do tych obszarów gospodarki, w których wykorzystanie sztucznej inteligencji jest najbardziej intensywne. Systemy rekomendacji produktów, personalizowane ceny, analiza zachowań użytkowników czy scoring płatności odroczonych to rozwiązania powszechne.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sposobu ich użycia mogą one podlegać obowiązkom wynikającym z </w:t>
      </w:r>
      <w:r>
        <w:rPr>
          <w:rFonts w:ascii="calibri" w:hAnsi="calibri" w:eastAsia="calibri" w:cs="calibri"/>
          <w:sz w:val="24"/>
          <w:szCs w:val="24"/>
          <w:b/>
        </w:rPr>
        <w:t xml:space="preserve">AI Act</w:t>
      </w:r>
      <w:r>
        <w:rPr>
          <w:rFonts w:ascii="calibri" w:hAnsi="calibri" w:eastAsia="calibri" w:cs="calibri"/>
          <w:sz w:val="24"/>
          <w:szCs w:val="24"/>
        </w:rPr>
        <w:t xml:space="preserve">. Jednocześnie, jeżeli algorytmy analizują dane osobowe lub podejmują wobec klientów zautomatyzowane decyzje, zastosowanie znajdują przepisy </w:t>
      </w: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„Personalizacja sama w sobie nie jest problemem. Problem zaczyna się wtedy, gdy przedsiębiorca nie potrafi wyjaśnić, w jaki sposób działa jego system i jaki wpływ ma na klienta. Transparentność będzie jednym z kluczowych wymogów najbliższych lat” – mówi Aleksaner Pawzun.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cyfrowa jako element strategii, nie tylko obowiązku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dyskusji o AI rzadziej mówi się o dostępności, jednak w praktyce ma ona coraz większe znaczenie. Jeżeli chatbot lub inny system oparty na sztucznej inteligencji staje się głównym kanałem komunikacji z firmą, musi być zgodny ze standardami </w:t>
      </w:r>
      <w:r>
        <w:rPr>
          <w:rFonts w:ascii="calibri" w:hAnsi="calibri" w:eastAsia="calibri" w:cs="calibri"/>
          <w:sz w:val="24"/>
          <w:szCs w:val="24"/>
          <w:b/>
        </w:rPr>
        <w:t xml:space="preserve">WCAG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dostępności może oznaczać nie tylko wykluczenie części użytkowników, lecz także ryzyko prawne i reputacyjne.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„Dostępność nie jest już dodatkiem do projektu strony. W modelu opartym na AI staje się elementem odpowiedzialnego projektowania. Firmy, które uwzględnią ją na etapie planowania, unikną późniejszych kosztownych zmian” – zauważa</w:t>
      </w:r>
      <w:r>
        <w:rPr>
          <w:rFonts w:ascii="calibri" w:hAnsi="calibri" w:eastAsia="calibri" w:cs="calibri"/>
          <w:sz w:val="24"/>
          <w:szCs w:val="24"/>
          <w:b/>
        </w:rPr>
        <w:t xml:space="preserve"> Łukasz Jurys, CTO i członek zarządu w CalmFox.pl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obszary, które wymagają integracji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przedsiębiorcy muszą dziś zarządzać trzema powiązanymi warstwami regulacyjnymi.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Pierwsza dotyczy klasyfikacji i oceny ryzyka systemu w świetle AI Act.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Druga obejmuje przetwarzanie danych osobowych zgodnie z RODO.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Trzecia odnosi się do dostępności usług cyfrowych zgodnie z WCAG.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spójnej strategii w tych obszarach może prowadzić do sytuacji, w której rozwiązanie skuteczne sprzedażowo okazuje się problematyczne prawnie.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Regulacja jako element przewagi konkurencyjnej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nie oznaczają końca innowacji. Oznaczają zmianę podejścia. Firmy, które wykorzystają lata 2025–2027 na uporządkowanie obszaru AI, mogą wzmocnić swoją wiarygodność i budować przewagę opartą na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„Regulacje nie są zagrożeniem dla biznesu. Są testem dojrzałości organizacji. Te firmy, które już dziś potraktują AI jako element strategii compliance, a nie wyłącznie narzędzie marketingowe, będą w znacznie lepszej pozycji konkurencyjnej” – podsumowuje A. Pawzun.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latach pytanie nie będzie dotyczyło tego, czy przedsiębiorstwo korzysta ze sztucznej inteligencji. Kluczowe stanie się to, czy potrafi robić to odpowiedzialnie, przejrzyście i w zgodzie z europejskimi standardami.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2026-06-20T01:20:20+02:00</dcterms:created>
  <dcterms:modified xsi:type="dcterms:W3CDTF">2026-06-20T01:20:20+02:00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